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13C09747" w:rsidR="00920F1F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hAnsi="Century Gothic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B9A23DB" wp14:editId="2B5095F9">
            <wp:simplePos x="0" y="0"/>
            <wp:positionH relativeFrom="column">
              <wp:posOffset>8147050</wp:posOffset>
            </wp:positionH>
            <wp:positionV relativeFrom="paragraph">
              <wp:posOffset>-560705</wp:posOffset>
            </wp:positionV>
            <wp:extent cx="1285875" cy="1152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F75">
        <w:rPr>
          <w:rFonts w:ascii="Century Gothic" w:hAnsi="Century Gothic"/>
          <w:b/>
          <w:sz w:val="24"/>
        </w:rPr>
        <w:t xml:space="preserve">Record of </w:t>
      </w:r>
      <w:r w:rsidR="00147CCF">
        <w:rPr>
          <w:rFonts w:ascii="Century Gothic" w:hAnsi="Century Gothic"/>
          <w:b/>
          <w:sz w:val="24"/>
        </w:rPr>
        <w:t>D</w:t>
      </w:r>
      <w:r w:rsidRPr="00064F75">
        <w:rPr>
          <w:rFonts w:ascii="Century Gothic" w:hAnsi="Century Gothic"/>
          <w:b/>
          <w:sz w:val="24"/>
        </w:rPr>
        <w:t xml:space="preserve">ecisions taken by the </w:t>
      </w:r>
      <w:r w:rsidR="00920F1F">
        <w:rPr>
          <w:rFonts w:ascii="Century Gothic" w:hAnsi="Century Gothic"/>
          <w:b/>
          <w:sz w:val="24"/>
        </w:rPr>
        <w:t xml:space="preserve">Executive Panel </w:t>
      </w:r>
      <w:r w:rsidRPr="00064F75">
        <w:rPr>
          <w:rFonts w:ascii="Century Gothic" w:hAnsi="Century Gothic"/>
          <w:b/>
          <w:sz w:val="24"/>
        </w:rPr>
        <w:t xml:space="preserve">on Monday </w:t>
      </w:r>
      <w:r w:rsidR="006B5BD0">
        <w:rPr>
          <w:rFonts w:ascii="Century Gothic" w:hAnsi="Century Gothic"/>
          <w:b/>
          <w:sz w:val="24"/>
        </w:rPr>
        <w:t>1</w:t>
      </w:r>
      <w:r w:rsidR="00A17B49">
        <w:rPr>
          <w:rFonts w:ascii="Century Gothic" w:hAnsi="Century Gothic"/>
          <w:b/>
          <w:sz w:val="24"/>
        </w:rPr>
        <w:t>5</w:t>
      </w:r>
      <w:r w:rsidR="006B5BD0">
        <w:rPr>
          <w:rFonts w:ascii="Century Gothic" w:hAnsi="Century Gothic"/>
          <w:b/>
          <w:sz w:val="24"/>
        </w:rPr>
        <w:t xml:space="preserve"> </w:t>
      </w:r>
      <w:r w:rsidR="00A17B49">
        <w:rPr>
          <w:rFonts w:ascii="Century Gothic" w:hAnsi="Century Gothic"/>
          <w:b/>
          <w:sz w:val="24"/>
        </w:rPr>
        <w:t>June</w:t>
      </w:r>
      <w:r w:rsidR="006B5BD0">
        <w:rPr>
          <w:rFonts w:ascii="Century Gothic" w:hAnsi="Century Gothic"/>
          <w:b/>
          <w:sz w:val="24"/>
        </w:rPr>
        <w:t xml:space="preserve"> </w:t>
      </w:r>
      <w:r w:rsidRPr="00064F75">
        <w:rPr>
          <w:rFonts w:ascii="Century Gothic" w:hAnsi="Century Gothic"/>
          <w:b/>
          <w:sz w:val="24"/>
        </w:rPr>
        <w:t>202</w:t>
      </w:r>
      <w:r w:rsidR="006B5BD0">
        <w:rPr>
          <w:rFonts w:ascii="Century Gothic" w:hAnsi="Century Gothic"/>
          <w:b/>
          <w:sz w:val="24"/>
        </w:rPr>
        <w:t>6</w:t>
      </w:r>
    </w:p>
    <w:p w14:paraId="76C0E3FF" w14:textId="77777777" w:rsidR="00064F75" w:rsidRDefault="00064F75">
      <w:pPr>
        <w:rPr>
          <w:rFonts w:ascii="Century Gothic" w:hAnsi="Century Gothic"/>
          <w:b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088"/>
        <w:gridCol w:w="5347"/>
        <w:gridCol w:w="8302"/>
      </w:tblGrid>
      <w:tr w:rsidR="00064F75" w:rsidRPr="00064F75" w14:paraId="312A2948" w14:textId="77777777" w:rsidTr="009913B4">
        <w:trPr>
          <w:trHeight w:val="539"/>
          <w:tblHeader/>
        </w:trPr>
        <w:tc>
          <w:tcPr>
            <w:tcW w:w="1088" w:type="dxa"/>
            <w:tcBorders>
              <w:bottom w:val="single" w:sz="4" w:space="0" w:color="auto"/>
            </w:tcBorders>
          </w:tcPr>
          <w:p w14:paraId="60F79AE1" w14:textId="77777777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hAnsi="Century Gothic"/>
                <w:b/>
              </w:rPr>
              <w:t>Agenda Item No</w:t>
            </w:r>
          </w:p>
        </w:tc>
        <w:tc>
          <w:tcPr>
            <w:tcW w:w="5347" w:type="dxa"/>
            <w:tcBorders>
              <w:bottom w:val="single" w:sz="4" w:space="0" w:color="auto"/>
            </w:tcBorders>
          </w:tcPr>
          <w:p w14:paraId="15FDA3A6" w14:textId="77777777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8302" w:type="dxa"/>
            <w:tcBorders>
              <w:bottom w:val="single" w:sz="4" w:space="0" w:color="auto"/>
            </w:tcBorders>
          </w:tcPr>
          <w:p w14:paraId="3E7BDF16" w14:textId="54DF5AE5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hAnsi="Century Gothic"/>
                <w:b/>
              </w:rPr>
              <w:t>Decision</w:t>
            </w:r>
            <w:r w:rsidR="009458A2" w:rsidRPr="00240889">
              <w:rPr>
                <w:rFonts w:ascii="Century Gothic" w:hAnsi="Century Gothic"/>
                <w:b/>
              </w:rPr>
              <w:t xml:space="preserve"> / Resolution</w:t>
            </w:r>
          </w:p>
        </w:tc>
      </w:tr>
      <w:tr w:rsidR="00064F75" w:rsidRPr="00064F75" w14:paraId="5F1263CE" w14:textId="77777777" w:rsidTr="009913B4">
        <w:trPr>
          <w:trHeight w:val="252"/>
        </w:trPr>
        <w:tc>
          <w:tcPr>
            <w:tcW w:w="1088" w:type="dxa"/>
            <w:tcBorders>
              <w:left w:val="nil"/>
              <w:right w:val="nil"/>
            </w:tcBorders>
          </w:tcPr>
          <w:p w14:paraId="397E8447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5347" w:type="dxa"/>
            <w:tcBorders>
              <w:left w:val="nil"/>
              <w:right w:val="nil"/>
            </w:tcBorders>
          </w:tcPr>
          <w:p w14:paraId="45A55875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302" w:type="dxa"/>
            <w:tcBorders>
              <w:left w:val="nil"/>
              <w:right w:val="nil"/>
            </w:tcBorders>
          </w:tcPr>
          <w:p w14:paraId="733F50F9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194F67" w:rsidRPr="00064F75" w14:paraId="7E88DD5E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5F8BBFB5" w14:textId="77777777" w:rsidR="00194F67" w:rsidRPr="00C97BC6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0F4675D9" w14:textId="217CB57A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Attendance and Apologies</w:t>
            </w:r>
          </w:p>
        </w:tc>
        <w:tc>
          <w:tcPr>
            <w:tcW w:w="8302" w:type="dxa"/>
            <w:vAlign w:val="center"/>
          </w:tcPr>
          <w:p w14:paraId="484AC4AA" w14:textId="7990419A" w:rsidR="00194F67" w:rsidRPr="00240889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 w:rsidRPr="00240889">
              <w:rPr>
                <w:rFonts w:ascii="Century Gothic" w:hAnsi="Century Gothic"/>
                <w:sz w:val="24"/>
                <w:szCs w:val="24"/>
              </w:rPr>
              <w:t xml:space="preserve">Councillors in attendance: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Dylan Rees (Chair)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;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Mark Young (Deputy Chair)</w:t>
            </w:r>
            <w:r w:rsidR="00240889">
              <w:rPr>
                <w:rFonts w:ascii="Century Gothic" w:hAnsi="Century Gothic"/>
                <w:sz w:val="24"/>
                <w:szCs w:val="24"/>
              </w:rPr>
              <w:t>;</w:t>
            </w:r>
            <w:r w:rsidR="00827264">
              <w:rPr>
                <w:rFonts w:ascii="Century Gothic" w:hAnsi="Century Gothic"/>
                <w:sz w:val="24"/>
                <w:szCs w:val="24"/>
              </w:rPr>
              <w:t xml:space="preserve"> Rondo </w:t>
            </w:r>
            <w:r w:rsidR="00F63147">
              <w:rPr>
                <w:rFonts w:ascii="Century Gothic" w:hAnsi="Century Gothic"/>
                <w:sz w:val="24"/>
                <w:szCs w:val="24"/>
              </w:rPr>
              <w:t xml:space="preserve">Roberts; </w:t>
            </w:r>
            <w:r w:rsidR="00E53C7C">
              <w:rPr>
                <w:rFonts w:ascii="Century Gothic" w:hAnsi="Century Gothic"/>
                <w:sz w:val="24"/>
                <w:szCs w:val="24"/>
              </w:rPr>
              <w:t>Chris Hughes; Jonh Ifan Jones</w:t>
            </w:r>
            <w:r w:rsidR="007F1055">
              <w:rPr>
                <w:rFonts w:ascii="Century Gothic" w:hAnsi="Century Gothic"/>
                <w:sz w:val="24"/>
                <w:szCs w:val="24"/>
              </w:rPr>
              <w:t>; Gareth Williams; Anthony Wren; Alan Hughes; Paul Rogers</w:t>
            </w:r>
          </w:p>
          <w:p w14:paraId="77678233" w14:textId="77777777" w:rsidR="00194F67" w:rsidRDefault="00194F67" w:rsidP="00194F67">
            <w:pPr>
              <w:rPr>
                <w:rFonts w:ascii="Century Gothic" w:hAnsi="Century Gothic"/>
              </w:rPr>
            </w:pPr>
          </w:p>
          <w:p w14:paraId="58FAD390" w14:textId="29EAEC1A" w:rsidR="00194F67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Apologies: Councillors: </w:t>
            </w:r>
            <w:r w:rsidR="007F1055">
              <w:rPr>
                <w:rFonts w:ascii="Century Gothic" w:hAnsi="Century Gothic"/>
                <w:sz w:val="24"/>
                <w:szCs w:val="24"/>
              </w:rPr>
              <w:t>Carol Beard;</w:t>
            </w:r>
            <w:r w:rsidR="00A962FD">
              <w:rPr>
                <w:rFonts w:ascii="Century Gothic" w:hAnsi="Century Gothic"/>
                <w:sz w:val="24"/>
                <w:szCs w:val="24"/>
              </w:rPr>
              <w:t xml:space="preserve"> Paul Cunningham; Charlie McC</w:t>
            </w:r>
            <w:r w:rsidR="00B84B75">
              <w:rPr>
                <w:rFonts w:ascii="Century Gothic" w:hAnsi="Century Gothic"/>
                <w:sz w:val="24"/>
                <w:szCs w:val="24"/>
              </w:rPr>
              <w:t>oubrey</w:t>
            </w:r>
          </w:p>
          <w:p w14:paraId="29933107" w14:textId="7777777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ECC9ABC" w14:textId="15D7244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Absent: Councillors: </w:t>
            </w:r>
            <w:r w:rsidR="00B84B75">
              <w:rPr>
                <w:rFonts w:ascii="Century Gothic" w:hAnsi="Century Gothic"/>
                <w:sz w:val="24"/>
                <w:szCs w:val="24"/>
              </w:rPr>
              <w:t>Gareth A Roberts; Dale Selvester</w:t>
            </w:r>
          </w:p>
          <w:p w14:paraId="5A58D2D2" w14:textId="7777777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23B94F" w14:textId="18D21EC6" w:rsidR="00194F67" w:rsidRPr="00064F75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Also present: 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CFO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Dawn Docx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; ACFO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Helen MacArthur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; ACFO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Anthony Jones</w:t>
            </w:r>
            <w:r w:rsidR="00240889">
              <w:rPr>
                <w:rFonts w:ascii="Century Gothic" w:hAnsi="Century Gothic"/>
                <w:sz w:val="24"/>
                <w:szCs w:val="24"/>
              </w:rPr>
              <w:t>;</w:t>
            </w:r>
            <w:r w:rsidR="00745CBB">
              <w:rPr>
                <w:rFonts w:ascii="Century Gothic" w:hAnsi="Century Gothic"/>
                <w:sz w:val="24"/>
                <w:szCs w:val="24"/>
              </w:rPr>
              <w:t xml:space="preserve"> ACFO Justin Evans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;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Dafydd Edwards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 w:rsidR="00745CBB">
              <w:rPr>
                <w:rFonts w:ascii="Century Gothic" w:hAnsi="Century Gothic"/>
                <w:sz w:val="24"/>
                <w:szCs w:val="24"/>
              </w:rPr>
              <w:t>Advisor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;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Gareth Owens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, Monitoring Clerk;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Steve Morris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, Head of ICT; </w:t>
            </w:r>
            <w:r w:rsidR="00745CBB">
              <w:rPr>
                <w:rFonts w:ascii="Century Gothic" w:hAnsi="Century Gothic"/>
                <w:sz w:val="24"/>
                <w:szCs w:val="24"/>
              </w:rPr>
              <w:t>Mike Plant</w:t>
            </w:r>
            <w:r w:rsidR="0096650F">
              <w:rPr>
                <w:rFonts w:ascii="Century Gothic" w:hAnsi="Century Gothic"/>
                <w:sz w:val="24"/>
                <w:szCs w:val="24"/>
              </w:rPr>
              <w:t>,</w:t>
            </w:r>
            <w:r w:rsidR="00745CBB">
              <w:rPr>
                <w:rFonts w:ascii="Century Gothic" w:hAnsi="Century Gothic"/>
                <w:sz w:val="24"/>
                <w:szCs w:val="24"/>
              </w:rPr>
              <w:t xml:space="preserve"> Head of </w:t>
            </w:r>
            <w:r w:rsidR="0096650F">
              <w:rPr>
                <w:rFonts w:ascii="Century Gothic" w:hAnsi="Century Gothic"/>
                <w:sz w:val="24"/>
                <w:szCs w:val="24"/>
              </w:rPr>
              <w:t>Planning, Performance and Transformation; Lee Bourne</w:t>
            </w:r>
            <w:r w:rsidR="00E77D22">
              <w:rPr>
                <w:rFonts w:ascii="Century Gothic" w:hAnsi="Century Gothic"/>
                <w:sz w:val="24"/>
                <w:szCs w:val="24"/>
              </w:rPr>
              <w:t>, Head of Training and Development</w:t>
            </w:r>
            <w:r w:rsidR="00B100C3">
              <w:rPr>
                <w:rFonts w:ascii="Century Gothic" w:hAnsi="Century Gothic"/>
                <w:sz w:val="24"/>
                <w:szCs w:val="24"/>
              </w:rPr>
              <w:t>;</w:t>
            </w:r>
            <w:r w:rsidR="0096650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240889" w:rsidRPr="00240889">
              <w:rPr>
                <w:rFonts w:ascii="Century Gothic" w:hAnsi="Century Gothic"/>
                <w:sz w:val="24"/>
                <w:szCs w:val="24"/>
              </w:rPr>
              <w:t>Heledd Davies</w:t>
            </w:r>
            <w:r w:rsidR="00240889">
              <w:rPr>
                <w:rFonts w:ascii="Century Gothic" w:hAnsi="Century Gothic"/>
                <w:sz w:val="24"/>
                <w:szCs w:val="24"/>
              </w:rPr>
              <w:t xml:space="preserve">, Translator; </w:t>
            </w:r>
            <w:r w:rsidR="00B100C3">
              <w:rPr>
                <w:rFonts w:ascii="Century Gothic" w:hAnsi="Century Gothic"/>
                <w:sz w:val="24"/>
                <w:szCs w:val="24"/>
              </w:rPr>
              <w:t>Ffion Evans</w:t>
            </w:r>
            <w:r w:rsidR="00240889">
              <w:rPr>
                <w:rFonts w:ascii="Century Gothic" w:hAnsi="Century Gothic"/>
                <w:sz w:val="24"/>
                <w:szCs w:val="24"/>
              </w:rPr>
              <w:t>, Members Services</w:t>
            </w:r>
          </w:p>
        </w:tc>
      </w:tr>
      <w:tr w:rsidR="00194F67" w:rsidRPr="00064F75" w14:paraId="047CF109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63A15EE6" w14:textId="77777777" w:rsidR="00194F67" w:rsidRPr="00064F75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40C29238" w14:textId="410439CE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hAnsi="Century Gothic"/>
                <w:sz w:val="24"/>
                <w:szCs w:val="24"/>
              </w:rPr>
              <w:t>Declarations of Interest</w:t>
            </w:r>
          </w:p>
        </w:tc>
        <w:tc>
          <w:tcPr>
            <w:tcW w:w="8302" w:type="dxa"/>
            <w:vAlign w:val="center"/>
          </w:tcPr>
          <w:p w14:paraId="03704112" w14:textId="5A2A674E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hAnsi="Century Gothic"/>
                <w:sz w:val="24"/>
                <w:szCs w:val="24"/>
              </w:rPr>
              <w:t>None.</w:t>
            </w:r>
          </w:p>
        </w:tc>
      </w:tr>
      <w:tr w:rsidR="00194F67" w:rsidRPr="00064F75" w14:paraId="22507868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4837A12A" w14:textId="77777777" w:rsidR="00194F67" w:rsidRPr="00064F75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192E9942" w14:textId="27CA0284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hAnsi="Century Gothic"/>
                <w:sz w:val="24"/>
                <w:szCs w:val="24"/>
              </w:rPr>
              <w:t>Notice of Urgent Matters</w:t>
            </w:r>
          </w:p>
        </w:tc>
        <w:tc>
          <w:tcPr>
            <w:tcW w:w="8302" w:type="dxa"/>
            <w:vAlign w:val="center"/>
          </w:tcPr>
          <w:p w14:paraId="2BBA3A04" w14:textId="0BCF3A01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hAnsi="Century Gothic"/>
                <w:sz w:val="24"/>
                <w:szCs w:val="24"/>
              </w:rPr>
              <w:t>None.</w:t>
            </w:r>
          </w:p>
        </w:tc>
      </w:tr>
      <w:tr w:rsidR="00064F75" w:rsidRPr="00064F75" w14:paraId="6C819A75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0427F62A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0C1B6E92" w14:textId="67B34B8E" w:rsidR="00064F75" w:rsidRPr="00064F75" w:rsidRDefault="00D34249">
            <w:pPr>
              <w:rPr>
                <w:rFonts w:ascii="Century Gothic" w:hAnsi="Century Gothic"/>
                <w:sz w:val="24"/>
                <w:szCs w:val="24"/>
              </w:rPr>
            </w:pPr>
            <w:r w:rsidRPr="00D34249">
              <w:rPr>
                <w:rFonts w:ascii="Century Gothic" w:hAnsi="Century Gothic"/>
                <w:sz w:val="24"/>
                <w:szCs w:val="24"/>
              </w:rPr>
              <w:t xml:space="preserve">Minutes of the </w:t>
            </w:r>
            <w:r>
              <w:rPr>
                <w:rFonts w:ascii="Century Gothic" w:hAnsi="Century Gothic"/>
                <w:sz w:val="24"/>
                <w:szCs w:val="24"/>
              </w:rPr>
              <w:t>M</w:t>
            </w:r>
            <w:r w:rsidRPr="00D34249">
              <w:rPr>
                <w:rFonts w:ascii="Century Gothic" w:hAnsi="Century Gothic"/>
                <w:sz w:val="24"/>
                <w:szCs w:val="24"/>
              </w:rPr>
              <w:t xml:space="preserve">eeting held on 15 </w:t>
            </w:r>
            <w:r>
              <w:rPr>
                <w:rFonts w:ascii="Century Gothic" w:hAnsi="Century Gothic"/>
                <w:sz w:val="24"/>
                <w:szCs w:val="24"/>
              </w:rPr>
              <w:t>D</w:t>
            </w:r>
            <w:r w:rsidRPr="00D34249">
              <w:rPr>
                <w:rFonts w:ascii="Century Gothic" w:hAnsi="Century Gothic"/>
                <w:sz w:val="24"/>
                <w:szCs w:val="24"/>
              </w:rPr>
              <w:t>ecember 2025</w:t>
            </w:r>
          </w:p>
        </w:tc>
        <w:tc>
          <w:tcPr>
            <w:tcW w:w="8302" w:type="dxa"/>
            <w:vAlign w:val="center"/>
          </w:tcPr>
          <w:p w14:paraId="136D8B31" w14:textId="0F6E87D4" w:rsidR="00064F75" w:rsidRPr="0049080B" w:rsidRDefault="00D34249" w:rsidP="0049080B">
            <w:pPr>
              <w:pStyle w:val="ListParagraph"/>
              <w:numPr>
                <w:ilvl w:val="0"/>
                <w:numId w:val="2"/>
              </w:numPr>
              <w:ind w:left="433" w:hanging="363"/>
              <w:rPr>
                <w:rFonts w:ascii="Century Gothic" w:hAnsi="Century Gothic"/>
                <w:bCs/>
                <w:sz w:val="24"/>
                <w:szCs w:val="24"/>
              </w:rPr>
            </w:pPr>
            <w:r w:rsidRPr="0049080B">
              <w:rPr>
                <w:rFonts w:ascii="Century Gothic" w:hAnsi="Century Gothic"/>
                <w:bCs/>
                <w:color w:val="000000" w:themeColor="text1"/>
                <w:sz w:val="24"/>
                <w:szCs w:val="24"/>
              </w:rPr>
              <w:t>approve the minutes as a true and correct record of the meeting held.</w:t>
            </w:r>
          </w:p>
        </w:tc>
      </w:tr>
      <w:tr w:rsidR="00064F75" w:rsidRPr="00064F75" w14:paraId="5D5B4F25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430F7B88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4402E227" w14:textId="09600C02" w:rsidR="00064F75" w:rsidRPr="00064F75" w:rsidRDefault="00F372F2">
            <w:pPr>
              <w:rPr>
                <w:rFonts w:ascii="Century Gothic" w:hAnsi="Century Gothic"/>
                <w:sz w:val="24"/>
                <w:szCs w:val="24"/>
              </w:rPr>
            </w:pPr>
            <w:r w:rsidRPr="00FD4151">
              <w:rPr>
                <w:rFonts w:ascii="Century Gothic" w:hAnsi="Century Gothic"/>
                <w:sz w:val="24"/>
                <w:szCs w:val="24"/>
              </w:rPr>
              <w:t xml:space="preserve">Risks and </w:t>
            </w:r>
            <w:r>
              <w:rPr>
                <w:rFonts w:ascii="Century Gothic" w:hAnsi="Century Gothic"/>
                <w:sz w:val="24"/>
                <w:szCs w:val="24"/>
              </w:rPr>
              <w:t>M</w:t>
            </w:r>
            <w:r w:rsidRPr="00FD4151">
              <w:rPr>
                <w:rFonts w:ascii="Century Gothic" w:hAnsi="Century Gothic"/>
                <w:sz w:val="24"/>
                <w:szCs w:val="24"/>
              </w:rPr>
              <w:t xml:space="preserve">itigations around </w:t>
            </w:r>
            <w:r>
              <w:rPr>
                <w:rFonts w:ascii="Century Gothic" w:hAnsi="Century Gothic"/>
                <w:sz w:val="24"/>
                <w:szCs w:val="24"/>
              </w:rPr>
              <w:t>H</w:t>
            </w:r>
            <w:r w:rsidRPr="00FD4151">
              <w:rPr>
                <w:rFonts w:ascii="Century Gothic" w:hAnsi="Century Gothic"/>
                <w:sz w:val="24"/>
                <w:szCs w:val="24"/>
              </w:rPr>
              <w:t xml:space="preserve">wb </w:t>
            </w:r>
            <w:r>
              <w:rPr>
                <w:rFonts w:ascii="Century Gothic" w:hAnsi="Century Gothic"/>
                <w:sz w:val="24"/>
                <w:szCs w:val="24"/>
              </w:rPr>
              <w:t>A</w:t>
            </w:r>
            <w:r w:rsidRPr="00FD4151">
              <w:rPr>
                <w:rFonts w:ascii="Century Gothic" w:hAnsi="Century Gothic"/>
                <w:sz w:val="24"/>
                <w:szCs w:val="24"/>
              </w:rPr>
              <w:t xml:space="preserve">wen </w:t>
            </w:r>
            <w:r w:rsidR="0017217B">
              <w:rPr>
                <w:rFonts w:ascii="Century Gothic" w:hAnsi="Century Gothic"/>
                <w:sz w:val="24"/>
                <w:szCs w:val="24"/>
              </w:rPr>
              <w:t>Training</w:t>
            </w:r>
            <w:r w:rsidRPr="00FD415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17217B">
              <w:rPr>
                <w:rFonts w:ascii="Century Gothic" w:hAnsi="Century Gothic"/>
                <w:sz w:val="24"/>
                <w:szCs w:val="24"/>
              </w:rPr>
              <w:t>C</w:t>
            </w:r>
            <w:r w:rsidRPr="00FD4151">
              <w:rPr>
                <w:rFonts w:ascii="Century Gothic" w:hAnsi="Century Gothic"/>
                <w:sz w:val="24"/>
                <w:szCs w:val="24"/>
              </w:rPr>
              <w:t xml:space="preserve">entre </w:t>
            </w:r>
            <w:r w:rsidR="0017217B">
              <w:rPr>
                <w:rFonts w:ascii="Century Gothic" w:hAnsi="Century Gothic"/>
                <w:sz w:val="24"/>
                <w:szCs w:val="24"/>
              </w:rPr>
              <w:t>P</w:t>
            </w:r>
            <w:r w:rsidRPr="00FD4151">
              <w:rPr>
                <w:rFonts w:ascii="Century Gothic" w:hAnsi="Century Gothic"/>
                <w:sz w:val="24"/>
                <w:szCs w:val="24"/>
              </w:rPr>
              <w:t>roject</w:t>
            </w:r>
          </w:p>
        </w:tc>
        <w:tc>
          <w:tcPr>
            <w:tcW w:w="8302" w:type="dxa"/>
            <w:vAlign w:val="center"/>
          </w:tcPr>
          <w:p w14:paraId="17BA807E" w14:textId="77777777" w:rsidR="000E45C7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hAnsi="Century Gothic"/>
                <w:sz w:val="24"/>
                <w:szCs w:val="24"/>
              </w:rPr>
              <w:t xml:space="preserve">Note the current risks and mitigations associated with the Hwb Awen Training Centre project; </w:t>
            </w:r>
          </w:p>
          <w:p w14:paraId="68E00D28" w14:textId="77777777" w:rsidR="000E45C7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hAnsi="Century Gothic"/>
                <w:sz w:val="24"/>
                <w:szCs w:val="24"/>
              </w:rPr>
              <w:t xml:space="preserve">Note the proposed adjustment to the programme to allow additional time for funding and stakeholder engagement; and </w:t>
            </w:r>
          </w:p>
          <w:p w14:paraId="3DAAD287" w14:textId="30550BF7" w:rsidR="00064F75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hAnsi="Century Gothic"/>
                <w:sz w:val="24"/>
                <w:szCs w:val="24"/>
              </w:rPr>
              <w:lastRenderedPageBreak/>
              <w:t xml:space="preserve">Note that no funding commitment is sought at this stage, but that future proposals may be brought for Member consideration if external funding routes cannot be secured. </w:t>
            </w:r>
          </w:p>
        </w:tc>
      </w:tr>
      <w:tr w:rsidR="00064F75" w:rsidRPr="00064F75" w14:paraId="286907B8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12F830EF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567A0947" w14:textId="627DFB03" w:rsidR="00064F75" w:rsidRPr="00064F75" w:rsidRDefault="000E45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Draft Annual Governance Statement </w:t>
            </w:r>
            <w:r w:rsidR="00640E49">
              <w:rPr>
                <w:rFonts w:ascii="Century Gothic" w:hAnsi="Century Gothic"/>
                <w:sz w:val="24"/>
                <w:szCs w:val="24"/>
              </w:rPr>
              <w:t>2025/26</w:t>
            </w:r>
          </w:p>
        </w:tc>
        <w:tc>
          <w:tcPr>
            <w:tcW w:w="8302" w:type="dxa"/>
            <w:vAlign w:val="center"/>
          </w:tcPr>
          <w:p w14:paraId="58B75F69" w14:textId="421822E0" w:rsidR="00E3507A" w:rsidRPr="00E3507A" w:rsidRDefault="00E3507A" w:rsidP="0053680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3507A">
              <w:rPr>
                <w:rFonts w:ascii="Century Gothic" w:hAnsi="Century Gothic"/>
                <w:sz w:val="24"/>
                <w:szCs w:val="24"/>
              </w:rPr>
              <w:t xml:space="preserve">Note the content of the Annual Governance Statement 2025-26; </w:t>
            </w:r>
          </w:p>
          <w:p w14:paraId="0DD41C35" w14:textId="7BACE4E0" w:rsidR="00E3507A" w:rsidRDefault="00E3507A" w:rsidP="0053680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3507A">
              <w:rPr>
                <w:rFonts w:ascii="Century Gothic" w:hAnsi="Century Gothic"/>
                <w:sz w:val="24"/>
                <w:szCs w:val="24"/>
              </w:rPr>
              <w:t>Approve that the Annual Governance Statement 2025-26 be provided to Audit Wales in line with The Accounts and Audit (Wales) Regulations 2014</w:t>
            </w:r>
            <w:r w:rsidR="0053680E">
              <w:rPr>
                <w:rFonts w:ascii="Century Gothic" w:hAnsi="Century Gothic"/>
                <w:sz w:val="24"/>
                <w:szCs w:val="24"/>
              </w:rPr>
              <w:t>; and</w:t>
            </w:r>
          </w:p>
          <w:p w14:paraId="4DA8EFB8" w14:textId="77777777" w:rsidR="0053680E" w:rsidRPr="0053680E" w:rsidRDefault="0053680E" w:rsidP="0053680E">
            <w:pPr>
              <w:pStyle w:val="ListParagraph"/>
              <w:numPr>
                <w:ilvl w:val="0"/>
                <w:numId w:val="5"/>
              </w:numPr>
              <w:ind w:right="-144"/>
              <w:rPr>
                <w:rFonts w:ascii="Century Gothic" w:hAnsi="Century Gothic" w:cs="Tahoma"/>
                <w:sz w:val="24"/>
                <w:szCs w:val="24"/>
              </w:rPr>
            </w:pPr>
            <w:r w:rsidRPr="0053680E">
              <w:rPr>
                <w:rFonts w:ascii="Century Gothic" w:hAnsi="Century Gothic" w:cs="Tahoma"/>
                <w:sz w:val="24"/>
                <w:szCs w:val="24"/>
              </w:rPr>
              <w:t>Authorise the Chair to write to the Welsh Government to request clarity over the implementation process for the Governance Reform.</w:t>
            </w:r>
          </w:p>
          <w:p w14:paraId="22C2DB6F" w14:textId="0E364465" w:rsidR="008C4F45" w:rsidRPr="0053680E" w:rsidRDefault="008C4F45" w:rsidP="0053680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64F75" w:rsidRPr="00064F75" w14:paraId="1AED9F2A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6059E1E1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733B4BE1" w14:textId="4504DF62" w:rsidR="00064F75" w:rsidRPr="00064F75" w:rsidRDefault="00640E4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Draft Statement of Accounts 2025/26</w:t>
            </w:r>
          </w:p>
        </w:tc>
        <w:tc>
          <w:tcPr>
            <w:tcW w:w="8302" w:type="dxa"/>
            <w:vAlign w:val="center"/>
          </w:tcPr>
          <w:p w14:paraId="2FD73414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Note the unaudited revenue and capital outturn position;</w:t>
            </w:r>
          </w:p>
          <w:p w14:paraId="6DF5B682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Note the unaudited balance sheet position; </w:t>
            </w:r>
          </w:p>
          <w:p w14:paraId="066791DD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Note and endorse the movement to and from reserves; and</w:t>
            </w:r>
          </w:p>
          <w:p w14:paraId="4E538FD8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Endorse the response to Audit Wales in relation to matters of governance relevant to the Statement of Accounts.</w:t>
            </w:r>
          </w:p>
          <w:p w14:paraId="44DADA18" w14:textId="1E28B3CA" w:rsidR="00064F75" w:rsidRPr="008C4F45" w:rsidRDefault="00064F75" w:rsidP="00DA0F5F">
            <w:pPr>
              <w:pStyle w:val="ListParagraph"/>
              <w:ind w:left="43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</w:tr>
      <w:tr w:rsidR="00064F75" w:rsidRPr="00064F75" w14:paraId="1DB09DE1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28FFDCEF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7ACB8C05" w14:textId="3530FDC4" w:rsidR="00064F75" w:rsidRPr="00064F75" w:rsidRDefault="00DA0F5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Strategic Risk Management </w:t>
            </w:r>
          </w:p>
        </w:tc>
        <w:tc>
          <w:tcPr>
            <w:tcW w:w="8302" w:type="dxa"/>
            <w:vAlign w:val="center"/>
          </w:tcPr>
          <w:p w14:paraId="2C25A62A" w14:textId="77777777" w:rsidR="009913B4" w:rsidRPr="009913B4" w:rsidRDefault="009913B4" w:rsidP="0008355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 w:rsidRPr="009913B4">
              <w:rPr>
                <w:rFonts w:ascii="Century Gothic" w:hAnsi="Century Gothic"/>
                <w:sz w:val="24"/>
                <w:szCs w:val="24"/>
              </w:rPr>
              <w:t>Note the Strategic Risk Register; and</w:t>
            </w:r>
          </w:p>
          <w:p w14:paraId="3B645B92" w14:textId="77777777" w:rsidR="009913B4" w:rsidRDefault="009913B4" w:rsidP="0008355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 w:rsidRPr="009913B4">
              <w:rPr>
                <w:rFonts w:ascii="Century Gothic" w:hAnsi="Century Gothic"/>
                <w:sz w:val="24"/>
                <w:szCs w:val="24"/>
              </w:rPr>
              <w:t>Review and approve the risk appetite in paras 13-20 below:</w:t>
            </w:r>
          </w:p>
          <w:p w14:paraId="51ED64EF" w14:textId="7DDEB2ED" w:rsidR="0008355F" w:rsidRPr="0008355F" w:rsidRDefault="0008355F" w:rsidP="000835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 w:rsidRPr="0008355F"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Deliver a Cyber Security training session at the next October Authority meeting.</w:t>
            </w:r>
          </w:p>
          <w:p w14:paraId="6DC79BCB" w14:textId="2275609D" w:rsidR="00064F75" w:rsidRPr="00064F75" w:rsidRDefault="00064F75" w:rsidP="009913B4">
            <w:pPr>
              <w:pStyle w:val="ListParagraph"/>
              <w:ind w:left="433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913B4" w:rsidRPr="00064F75" w14:paraId="7B5A5211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233EA57F" w14:textId="77777777" w:rsidR="009913B4" w:rsidRPr="00064F75" w:rsidRDefault="009913B4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355FB2D5" w14:textId="767FEE2B" w:rsidR="009913B4" w:rsidRDefault="009913B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Annual EDI Performance Assessment Report 2025/26</w:t>
            </w:r>
          </w:p>
        </w:tc>
        <w:tc>
          <w:tcPr>
            <w:tcW w:w="8302" w:type="dxa"/>
            <w:vAlign w:val="center"/>
          </w:tcPr>
          <w:p w14:paraId="72FF968C" w14:textId="6F666968" w:rsidR="003E5C30" w:rsidRPr="003E5C30" w:rsidRDefault="003E5C30" w:rsidP="003E5C30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4"/>
                <w:szCs w:val="24"/>
              </w:rPr>
            </w:pPr>
            <w:r w:rsidRPr="003E5C30">
              <w:rPr>
                <w:rFonts w:ascii="Century Gothic" w:hAnsi="Century Gothic"/>
                <w:sz w:val="24"/>
                <w:szCs w:val="24"/>
              </w:rPr>
              <w:t>Recommend that the full fire and rescue authority approve the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3E5C30">
              <w:rPr>
                <w:rFonts w:ascii="Century Gothic" w:hAnsi="Century Gothic"/>
                <w:sz w:val="24"/>
                <w:szCs w:val="24"/>
              </w:rPr>
              <w:t xml:space="preserve">publication of the annual </w:t>
            </w:r>
            <w:r>
              <w:rPr>
                <w:rFonts w:ascii="Century Gothic" w:hAnsi="Century Gothic"/>
                <w:sz w:val="24"/>
                <w:szCs w:val="24"/>
              </w:rPr>
              <w:t>EDI</w:t>
            </w:r>
            <w:r w:rsidRPr="003E5C30">
              <w:rPr>
                <w:rFonts w:ascii="Century Gothic" w:hAnsi="Century Gothic"/>
                <w:sz w:val="24"/>
                <w:szCs w:val="24"/>
              </w:rPr>
              <w:t xml:space="preserve"> report 2025/26 on the </w:t>
            </w:r>
            <w:r w:rsidR="00D202AA">
              <w:rPr>
                <w:rFonts w:ascii="Century Gothic" w:hAnsi="Century Gothic"/>
                <w:sz w:val="24"/>
                <w:szCs w:val="24"/>
              </w:rPr>
              <w:t>S</w:t>
            </w:r>
            <w:r w:rsidRPr="003E5C30">
              <w:rPr>
                <w:rFonts w:ascii="Century Gothic" w:hAnsi="Century Gothic"/>
                <w:sz w:val="24"/>
                <w:szCs w:val="24"/>
              </w:rPr>
              <w:t>ervice’s website.</w:t>
            </w:r>
          </w:p>
          <w:p w14:paraId="335C69F9" w14:textId="77777777" w:rsidR="009913B4" w:rsidRPr="009913B4" w:rsidRDefault="009913B4" w:rsidP="003E5C30">
            <w:pPr>
              <w:pStyle w:val="ListParagraph"/>
              <w:ind w:left="108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64F75" w:rsidRPr="00064F75" w14:paraId="103A991F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1BA58035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37341EF6" w14:textId="5074E16D" w:rsidR="00064F75" w:rsidRPr="00064F75" w:rsidRDefault="00415862">
            <w:pPr>
              <w:rPr>
                <w:rFonts w:ascii="Century Gothic" w:hAnsi="Century Gothic"/>
                <w:sz w:val="24"/>
                <w:szCs w:val="24"/>
              </w:rPr>
            </w:pPr>
            <w:r w:rsidRPr="00415862">
              <w:rPr>
                <w:rFonts w:ascii="Century Gothic" w:hAnsi="Century Gothic"/>
                <w:sz w:val="24"/>
                <w:szCs w:val="24"/>
              </w:rPr>
              <w:t>Urgent Matters</w:t>
            </w:r>
          </w:p>
        </w:tc>
        <w:tc>
          <w:tcPr>
            <w:tcW w:w="8302" w:type="dxa"/>
            <w:vAlign w:val="center"/>
          </w:tcPr>
          <w:p w14:paraId="65949590" w14:textId="7062A7DC" w:rsidR="00064F75" w:rsidRPr="00064F75" w:rsidRDefault="0041586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None.</w:t>
            </w:r>
          </w:p>
        </w:tc>
      </w:tr>
    </w:tbl>
    <w:p w14:paraId="0F7C9F96" w14:textId="77777777" w:rsidR="00064F75" w:rsidRPr="00064F75" w:rsidRDefault="00064F75">
      <w:pPr>
        <w:rPr>
          <w:rFonts w:ascii="Century Gothic" w:hAnsi="Century Gothic"/>
          <w:b/>
        </w:rPr>
      </w:pPr>
    </w:p>
    <w:sectPr w:rsidR="00064F75" w:rsidRPr="00064F75" w:rsidSect="00240889"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E9D"/>
    <w:multiLevelType w:val="hybridMultilevel"/>
    <w:tmpl w:val="85A45994"/>
    <w:lvl w:ilvl="0" w:tplc="2B3C0A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EF7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4747"/>
    <w:multiLevelType w:val="hybridMultilevel"/>
    <w:tmpl w:val="3402A80C"/>
    <w:lvl w:ilvl="0" w:tplc="85E6499E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BC3979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C075B"/>
    <w:multiLevelType w:val="hybridMultilevel"/>
    <w:tmpl w:val="BC14EDB4"/>
    <w:lvl w:ilvl="0" w:tplc="BF48B8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277EA"/>
    <w:multiLevelType w:val="hybridMultilevel"/>
    <w:tmpl w:val="AB72D5D8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54CAD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66E02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A07B6"/>
    <w:multiLevelType w:val="hybridMultilevel"/>
    <w:tmpl w:val="7446FAB4"/>
    <w:lvl w:ilvl="0" w:tplc="8570ACE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27A57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37C9B"/>
    <w:multiLevelType w:val="hybridMultilevel"/>
    <w:tmpl w:val="9C329378"/>
    <w:lvl w:ilvl="0" w:tplc="EFB47DCA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973DAA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4619">
    <w:abstractNumId w:val="4"/>
  </w:num>
  <w:num w:numId="2" w16cid:durableId="1821773836">
    <w:abstractNumId w:val="8"/>
  </w:num>
  <w:num w:numId="3" w16cid:durableId="1433940257">
    <w:abstractNumId w:val="1"/>
  </w:num>
  <w:num w:numId="4" w16cid:durableId="6447594">
    <w:abstractNumId w:val="0"/>
  </w:num>
  <w:num w:numId="5" w16cid:durableId="1467580284">
    <w:abstractNumId w:val="11"/>
  </w:num>
  <w:num w:numId="6" w16cid:durableId="1214342238">
    <w:abstractNumId w:val="10"/>
  </w:num>
  <w:num w:numId="7" w16cid:durableId="1002314789">
    <w:abstractNumId w:val="9"/>
  </w:num>
  <w:num w:numId="8" w16cid:durableId="263273156">
    <w:abstractNumId w:val="7"/>
  </w:num>
  <w:num w:numId="9" w16cid:durableId="1535730207">
    <w:abstractNumId w:val="6"/>
  </w:num>
  <w:num w:numId="10" w16cid:durableId="474758103">
    <w:abstractNumId w:val="3"/>
  </w:num>
  <w:num w:numId="11" w16cid:durableId="681123823">
    <w:abstractNumId w:val="5"/>
  </w:num>
  <w:num w:numId="12" w16cid:durableId="568997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12D6C"/>
    <w:rsid w:val="00064F75"/>
    <w:rsid w:val="0008355F"/>
    <w:rsid w:val="000E45C7"/>
    <w:rsid w:val="00147CCF"/>
    <w:rsid w:val="0017217B"/>
    <w:rsid w:val="00194F67"/>
    <w:rsid w:val="001D662E"/>
    <w:rsid w:val="00240889"/>
    <w:rsid w:val="00241B91"/>
    <w:rsid w:val="002570A2"/>
    <w:rsid w:val="003E5C30"/>
    <w:rsid w:val="00415862"/>
    <w:rsid w:val="0049080B"/>
    <w:rsid w:val="005275D1"/>
    <w:rsid w:val="0053680E"/>
    <w:rsid w:val="005A768E"/>
    <w:rsid w:val="00640E49"/>
    <w:rsid w:val="00686E1D"/>
    <w:rsid w:val="006B5BD0"/>
    <w:rsid w:val="00745CBB"/>
    <w:rsid w:val="007F1055"/>
    <w:rsid w:val="00827264"/>
    <w:rsid w:val="00894494"/>
    <w:rsid w:val="008C4F45"/>
    <w:rsid w:val="00920F1F"/>
    <w:rsid w:val="009458A2"/>
    <w:rsid w:val="00956FCE"/>
    <w:rsid w:val="0096650F"/>
    <w:rsid w:val="009913B4"/>
    <w:rsid w:val="00A17B49"/>
    <w:rsid w:val="00A962FD"/>
    <w:rsid w:val="00B100C3"/>
    <w:rsid w:val="00B84B75"/>
    <w:rsid w:val="00C039DF"/>
    <w:rsid w:val="00C97BC6"/>
    <w:rsid w:val="00CD11D4"/>
    <w:rsid w:val="00D202AA"/>
    <w:rsid w:val="00D22239"/>
    <w:rsid w:val="00D34249"/>
    <w:rsid w:val="00D425C6"/>
    <w:rsid w:val="00DA0F5F"/>
    <w:rsid w:val="00E3507A"/>
    <w:rsid w:val="00E53C7C"/>
    <w:rsid w:val="00E77D22"/>
    <w:rsid w:val="00F372F2"/>
    <w:rsid w:val="00F63147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B39063-468B-4E5E-98F1-1A6B63B5A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332</Words>
  <Characters>2200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33</cp:revision>
  <dcterms:created xsi:type="dcterms:W3CDTF">2026-03-13T10:28:00Z</dcterms:created>
  <dcterms:modified xsi:type="dcterms:W3CDTF">2026-06-16T14:34:00Z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